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66FBEB" w14:textId="77777777" w:rsidR="00C90E85" w:rsidRPr="009D1D0C" w:rsidRDefault="005D07C4" w:rsidP="009D1D0C">
      <w:pPr>
        <w:tabs>
          <w:tab w:val="left" w:pos="1316"/>
        </w:tabs>
        <w:spacing w:line="276" w:lineRule="auto"/>
        <w:jc w:val="center"/>
        <w:rPr>
          <w:b/>
          <w:bCs/>
        </w:rPr>
      </w:pPr>
      <w:bookmarkStart w:id="0" w:name="_GoBack"/>
      <w:bookmarkEnd w:id="0"/>
      <w:r w:rsidRPr="009D1D0C">
        <w:rPr>
          <w:b/>
          <w:bCs/>
        </w:rPr>
        <w:t>Φύλλ</w:t>
      </w:r>
      <w:r w:rsidR="7ACE467E" w:rsidRPr="009D1D0C">
        <w:rPr>
          <w:b/>
          <w:bCs/>
        </w:rPr>
        <w:t xml:space="preserve">α </w:t>
      </w:r>
      <w:r w:rsidRPr="009D1D0C">
        <w:rPr>
          <w:b/>
          <w:bCs/>
        </w:rPr>
        <w:t>Εργασίας</w:t>
      </w:r>
      <w:r w:rsidR="0089313C" w:rsidRPr="009D1D0C">
        <w:rPr>
          <w:b/>
          <w:bCs/>
        </w:rPr>
        <w:t xml:space="preserve"> Εργαστηρίου</w:t>
      </w:r>
      <w:r w:rsidR="5BB0C265" w:rsidRPr="009D1D0C">
        <w:rPr>
          <w:b/>
          <w:bCs/>
        </w:rPr>
        <w:t xml:space="preserve"> 5</w:t>
      </w:r>
    </w:p>
    <w:p w14:paraId="0028483B" w14:textId="69B6F355" w:rsidR="5BB0C265" w:rsidRPr="009D1D0C" w:rsidRDefault="00C90E85" w:rsidP="009D1D0C">
      <w:pPr>
        <w:tabs>
          <w:tab w:val="left" w:pos="1316"/>
        </w:tabs>
        <w:spacing w:line="276" w:lineRule="auto"/>
        <w:jc w:val="center"/>
      </w:pPr>
      <w:r w:rsidRPr="009D1D0C">
        <w:t>«</w:t>
      </w:r>
      <w:r w:rsidR="5BB0C265" w:rsidRPr="009D1D0C">
        <w:t>Το παιχνίδι ρόλων</w:t>
      </w:r>
      <w:r w:rsidRPr="009D1D0C">
        <w:t>»</w:t>
      </w:r>
    </w:p>
    <w:p w14:paraId="501DC20E" w14:textId="24EBB000" w:rsidR="3232E627" w:rsidRPr="00D20E59" w:rsidRDefault="3232E627" w:rsidP="009D1D0C">
      <w:pPr>
        <w:tabs>
          <w:tab w:val="left" w:pos="1316"/>
        </w:tabs>
        <w:spacing w:line="276" w:lineRule="auto"/>
        <w:jc w:val="center"/>
        <w:rPr>
          <w:u w:val="single"/>
        </w:rPr>
      </w:pPr>
    </w:p>
    <w:p w14:paraId="42BAD04C" w14:textId="77777777" w:rsidR="00F04F8E" w:rsidRPr="00D20E59" w:rsidRDefault="00F04F8E" w:rsidP="00D20E59">
      <w:pPr>
        <w:tabs>
          <w:tab w:val="left" w:pos="1316"/>
        </w:tabs>
        <w:spacing w:line="276" w:lineRule="auto"/>
        <w:ind w:left="720" w:right="950"/>
        <w:jc w:val="both"/>
      </w:pPr>
      <w:bookmarkStart w:id="1" w:name="_Hlk183714464"/>
      <w:r w:rsidRPr="00D20E59">
        <w:t>Σημ.:  Το παρόν Φύλλο Εργασίας αποτελεί μέρος του ολοκληρωμένου Εγχειριδίου του περιβαλλοντικού εκπαιδευτικού προγράμματος “</w:t>
      </w:r>
      <w:r w:rsidRPr="00D20E59">
        <w:rPr>
          <w:lang w:val="en-US"/>
        </w:rPr>
        <w:t>Let</w:t>
      </w:r>
      <w:r w:rsidRPr="00D20E59">
        <w:t xml:space="preserve"> </w:t>
      </w:r>
      <w:r w:rsidRPr="00D20E59">
        <w:rPr>
          <w:lang w:val="en-US"/>
        </w:rPr>
        <w:t>it</w:t>
      </w:r>
      <w:r w:rsidRPr="00D20E59">
        <w:t xml:space="preserve"> </w:t>
      </w:r>
      <w:r w:rsidRPr="00D20E59">
        <w:rPr>
          <w:lang w:val="en-US"/>
        </w:rPr>
        <w:t>Flow</w:t>
      </w:r>
      <w:r w:rsidRPr="00D20E59">
        <w:t xml:space="preserve">!”, το οποίο είναι διαθέσιμο προς χρήση για την υλοποίηση των εργαστηρίων στο φάκελο κατάθεσης του προγράμματος και διαδικτυακά πατώντας </w:t>
      </w:r>
      <w:hyperlink r:id="rId10" w:history="1">
        <w:r w:rsidRPr="00D20E59">
          <w:rPr>
            <w:rStyle w:val="-"/>
          </w:rPr>
          <w:t>εδώ</w:t>
        </w:r>
      </w:hyperlink>
      <w:r w:rsidRPr="00D20E59">
        <w:t>.</w:t>
      </w:r>
    </w:p>
    <w:bookmarkEnd w:id="1"/>
    <w:p w14:paraId="40239B83" w14:textId="77777777" w:rsidR="00C90E85" w:rsidRPr="00D20E59" w:rsidRDefault="00C90E85" w:rsidP="009D1D0C">
      <w:pPr>
        <w:tabs>
          <w:tab w:val="left" w:pos="1316"/>
        </w:tabs>
        <w:spacing w:line="276" w:lineRule="auto"/>
        <w:rPr>
          <w:u w:val="single"/>
        </w:rPr>
      </w:pPr>
    </w:p>
    <w:p w14:paraId="13BD820E" w14:textId="3ED36283" w:rsidR="00C90E85" w:rsidRPr="00D20E59" w:rsidRDefault="00266E30" w:rsidP="00D20E59">
      <w:pPr>
        <w:tabs>
          <w:tab w:val="left" w:pos="0"/>
          <w:tab w:val="left" w:pos="630"/>
          <w:tab w:val="left" w:pos="1316"/>
        </w:tabs>
        <w:spacing w:line="276" w:lineRule="auto"/>
        <w:ind w:left="1349" w:right="1463" w:hanging="720"/>
        <w:rPr>
          <w:b/>
          <w:bCs/>
          <w:u w:val="single"/>
        </w:rPr>
      </w:pPr>
      <w:r w:rsidRPr="00D20E59">
        <w:rPr>
          <w:b/>
          <w:bCs/>
          <w:u w:val="single"/>
        </w:rPr>
        <w:t xml:space="preserve">ΠΡΟΣΘΕΤΑ ΥΛΙΚΑ ΠΟΥ ΘΑ ΧΡΕΙΑΣΤΕΙΤΕ </w:t>
      </w:r>
      <w:r w:rsidRPr="00D20E59">
        <w:t>(διαθέσιμα προς εκτύπωση στο ολοκληρωμένο εγχειρίδιο του εκπαιδευτικού προγράμματος):</w:t>
      </w:r>
    </w:p>
    <w:p w14:paraId="35EEF8B0" w14:textId="77777777" w:rsidR="00C90E85" w:rsidRPr="009D1D0C" w:rsidRDefault="00C90E85" w:rsidP="009D1D0C">
      <w:pPr>
        <w:pStyle w:val="a5"/>
        <w:numPr>
          <w:ilvl w:val="0"/>
          <w:numId w:val="1"/>
        </w:numPr>
        <w:tabs>
          <w:tab w:val="left" w:pos="1316"/>
        </w:tabs>
        <w:spacing w:line="276" w:lineRule="auto"/>
      </w:pPr>
      <w:r w:rsidRPr="009D1D0C">
        <w:t>Φύλλο εργασίας εμπλεκόμενων φορέων</w:t>
      </w:r>
    </w:p>
    <w:p w14:paraId="2BC74C9C" w14:textId="77777777" w:rsidR="00C90E85" w:rsidRPr="009D1D0C" w:rsidRDefault="00C90E85" w:rsidP="009D1D0C">
      <w:pPr>
        <w:pStyle w:val="a5"/>
        <w:numPr>
          <w:ilvl w:val="0"/>
          <w:numId w:val="1"/>
        </w:numPr>
        <w:tabs>
          <w:tab w:val="left" w:pos="1316"/>
        </w:tabs>
        <w:spacing w:line="276" w:lineRule="auto"/>
      </w:pPr>
      <w:r w:rsidRPr="009D1D0C">
        <w:t>Φύλλο εργασίας περιβαλλοντικής οργάνωσης</w:t>
      </w:r>
    </w:p>
    <w:p w14:paraId="17D2B9E4" w14:textId="77777777" w:rsidR="00C90E85" w:rsidRPr="009D1D0C" w:rsidRDefault="00C90E85" w:rsidP="009D1D0C">
      <w:pPr>
        <w:pStyle w:val="a5"/>
        <w:numPr>
          <w:ilvl w:val="0"/>
          <w:numId w:val="1"/>
        </w:numPr>
        <w:tabs>
          <w:tab w:val="left" w:pos="1316"/>
        </w:tabs>
        <w:spacing w:line="276" w:lineRule="auto"/>
      </w:pPr>
      <w:r w:rsidRPr="009D1D0C">
        <w:t>Φύλλο εργασίας ειδικών επιστημόνων</w:t>
      </w:r>
    </w:p>
    <w:p w14:paraId="0A3222AB" w14:textId="77777777" w:rsidR="00C90E85" w:rsidRPr="009D1D0C" w:rsidRDefault="00C90E85" w:rsidP="009D1D0C">
      <w:pPr>
        <w:pStyle w:val="a5"/>
        <w:numPr>
          <w:ilvl w:val="0"/>
          <w:numId w:val="1"/>
        </w:numPr>
        <w:tabs>
          <w:tab w:val="left" w:pos="1316"/>
        </w:tabs>
        <w:spacing w:line="276" w:lineRule="auto"/>
      </w:pPr>
      <w:r w:rsidRPr="009D1D0C">
        <w:t>Πίνακας περιβαλλοντικών επιπτώσεων (μόνο για ειδικούς επιστήμονες)</w:t>
      </w:r>
    </w:p>
    <w:p w14:paraId="5ECCFE65" w14:textId="77777777" w:rsidR="00C90E85" w:rsidRPr="009D1D0C" w:rsidRDefault="00C90E85" w:rsidP="009D1D0C">
      <w:pPr>
        <w:tabs>
          <w:tab w:val="left" w:pos="1316"/>
        </w:tabs>
        <w:spacing w:line="276" w:lineRule="auto"/>
        <w:jc w:val="center"/>
        <w:rPr>
          <w:b/>
          <w:bCs/>
          <w:u w:val="single"/>
        </w:rPr>
      </w:pPr>
    </w:p>
    <w:p w14:paraId="654F8004" w14:textId="77777777" w:rsidR="00C90E85" w:rsidRPr="009D1D0C" w:rsidRDefault="00C90E85" w:rsidP="009D1D0C">
      <w:pPr>
        <w:tabs>
          <w:tab w:val="left" w:pos="1316"/>
        </w:tabs>
        <w:spacing w:line="276" w:lineRule="auto"/>
        <w:jc w:val="center"/>
        <w:rPr>
          <w:b/>
          <w:bCs/>
          <w:u w:val="single"/>
        </w:rPr>
      </w:pPr>
    </w:p>
    <w:p w14:paraId="58D43FA5" w14:textId="3178EB33" w:rsidR="00C90E85" w:rsidRPr="009D1D0C" w:rsidRDefault="00C90E85" w:rsidP="009D1D0C">
      <w:pPr>
        <w:tabs>
          <w:tab w:val="left" w:pos="1316"/>
        </w:tabs>
        <w:spacing w:line="276" w:lineRule="auto"/>
        <w:ind w:left="720" w:right="950"/>
        <w:jc w:val="both"/>
      </w:pPr>
      <w:r w:rsidRPr="009D1D0C">
        <w:rPr>
          <w:u w:val="single"/>
        </w:rPr>
        <w:t>Δράση προετοιμασίας</w:t>
      </w:r>
      <w:r w:rsidRPr="009D1D0C">
        <w:t> </w:t>
      </w:r>
    </w:p>
    <w:p w14:paraId="619A8D42" w14:textId="77777777" w:rsidR="00C90E85" w:rsidRPr="009D1D0C" w:rsidRDefault="00C90E85" w:rsidP="009D1D0C">
      <w:pPr>
        <w:tabs>
          <w:tab w:val="left" w:pos="1316"/>
        </w:tabs>
        <w:spacing w:line="276" w:lineRule="auto"/>
        <w:ind w:left="720" w:right="950"/>
        <w:jc w:val="both"/>
      </w:pPr>
      <w:r w:rsidRPr="009D1D0C">
        <w:t>Το παιχνίδι ρόλων (ΠΡ) αποτελεί την καρδιά του περιβαλλοντικού εκπαιδευτικού προγράμματος. Στόχος του είναι να εγείρει το πλαίσιο της λήψης αποφάσεων για τη διαχείριση της λεκάνης απορροής του ποταμού Αώου, αντλώντας υλικό από τις γνώσεις που αποκτήθηκαν στις προηγούμενες ενότητες αλλά και δημιουργώντας νέες. Το ΠΡ δανείζεται από την τέχνη του θεάτρου την έννοια και τη λειτουργία του θεατρικού ρόλου, όπως επίσης και τη σύμβαση ότι συμμετέχουμε όλοι και όλες ενεργά στην ίδια φανταστική ιστορία. Δεν υπάρχουν λόγια να μάθει απ’ έξω η ομάδα ούτε κάποιο παραστατικό γεγονός το οποίο θα παρουσιαστεί. </w:t>
      </w:r>
    </w:p>
    <w:p w14:paraId="012A0189" w14:textId="77777777" w:rsidR="00C90E85" w:rsidRPr="009D1D0C" w:rsidRDefault="00C90E85" w:rsidP="009D1D0C">
      <w:pPr>
        <w:tabs>
          <w:tab w:val="left" w:pos="1316"/>
        </w:tabs>
        <w:spacing w:line="276" w:lineRule="auto"/>
        <w:ind w:left="720" w:right="950"/>
        <w:jc w:val="both"/>
      </w:pPr>
      <w:r w:rsidRPr="009D1D0C">
        <w:t>Απώτερος στόχος του ΠΡ είναι να εκθέσει στην ομάδα την πολυπλοκότητα των προβλημάτων και την πληθώρα των εμπλεκομένων και των συμφερόντων τους όσον αφορά τη διαχείριση μιας λεκάνης απορροής ποταμού. Επίσης, να αναδείξει ότι η προσέγγιση μέσω διαλόγου και η χρήση της επιστήμης είναι οι βασικοί τρόποι για την επίλυση τέτοιου είδους ζητημάτων. Επιπλέον, το ΠΡ μπορεί να προωθήσει τις ρητορικές ικανότητες και την ομαδική δουλειά και έτσι να έχει και άλλα οφέλη για την ομάδα. </w:t>
      </w:r>
    </w:p>
    <w:p w14:paraId="43898F1B" w14:textId="79FAD8C8" w:rsidR="00C90E85" w:rsidRPr="009D1D0C" w:rsidRDefault="00C90E85" w:rsidP="009D1D0C">
      <w:pPr>
        <w:tabs>
          <w:tab w:val="left" w:pos="1316"/>
        </w:tabs>
        <w:spacing w:line="276" w:lineRule="auto"/>
        <w:ind w:left="720" w:right="950"/>
        <w:jc w:val="both"/>
      </w:pPr>
      <w:r w:rsidRPr="009D1D0C">
        <w:t>Για την προετοιμασία του ΠΡ, κατ’ αρχήν χρειάζεται προσεκτική οργάνωση των βημάτων όπως αυτά περιγράφονται και επεξηγούνται παρακάτω. Συνίσταται μελέτη των επιμέρους υλικών του ΠΡ, δηλαδή του Σεναρίου, των Καρτών Ρόλων και των Φύλλων Εργασίας των εμπλεκόμενων φορέων, των ειδικών επιστημόνων και της περιβαλλοντικής οργάνωσης, καθώς και του Πίνακα Περιβαλλοντικών Επιπτώσεων (μόνο για τους ειδικούς επιστήμονες). </w:t>
      </w:r>
    </w:p>
    <w:p w14:paraId="0F43CA57" w14:textId="3FBB6508" w:rsidR="00C90E85" w:rsidRPr="009D1D0C" w:rsidRDefault="00C90E85" w:rsidP="009D1D0C">
      <w:pPr>
        <w:tabs>
          <w:tab w:val="left" w:pos="1316"/>
        </w:tabs>
        <w:spacing w:line="276" w:lineRule="auto"/>
        <w:ind w:left="720" w:right="950"/>
        <w:jc w:val="both"/>
      </w:pPr>
      <w:r w:rsidRPr="009D1D0C">
        <w:t>Αυτά τα υλικά θα τα βρείτε στο ΠΑΡΑΡΤΗΜΑ Ι, στο ΠΑΡΑΡΤΗΜΑ ΙΙ και στο ΠΑΡΑΡΤΗΜΑ ΙΙΙ του εγχειριδίου</w:t>
      </w:r>
      <w:r w:rsidR="00AC0487" w:rsidRPr="009D1D0C">
        <w:t xml:space="preserve"> που παρέχεται ως επιπλέον υλικό. </w:t>
      </w:r>
    </w:p>
    <w:p w14:paraId="36B62E25" w14:textId="77777777" w:rsidR="00C90E85" w:rsidRPr="009D1D0C" w:rsidRDefault="00C90E85" w:rsidP="009D1D0C">
      <w:pPr>
        <w:tabs>
          <w:tab w:val="left" w:pos="1316"/>
        </w:tabs>
        <w:spacing w:line="276" w:lineRule="auto"/>
        <w:ind w:left="720" w:right="950"/>
        <w:jc w:val="both"/>
      </w:pPr>
      <w:r w:rsidRPr="009D1D0C">
        <w:t>Τις Κάρτες Ρόλων χρειάζεται να τις εκτυπώσετε ώστε να μοιραστούν στην ομάδα, όπως και τα Φύλλα Εργασίας και τ</w:t>
      </w:r>
      <w:r w:rsidRPr="009D1D0C">
        <w:rPr>
          <w:lang w:val="en-US"/>
        </w:rPr>
        <w:t>o</w:t>
      </w:r>
      <w:r w:rsidRPr="009D1D0C">
        <w:t>ν Πίνακα Περιβαλλοντικών Επιπτώσεων. </w:t>
      </w:r>
    </w:p>
    <w:p w14:paraId="0D8ACA4A" w14:textId="77777777" w:rsidR="003B00B1" w:rsidRPr="009D1D0C" w:rsidRDefault="003B00B1" w:rsidP="009D1D0C">
      <w:pPr>
        <w:tabs>
          <w:tab w:val="left" w:pos="1316"/>
        </w:tabs>
        <w:spacing w:line="276" w:lineRule="auto"/>
        <w:ind w:left="720" w:right="950"/>
        <w:jc w:val="both"/>
      </w:pPr>
    </w:p>
    <w:p w14:paraId="4D4AEF43" w14:textId="7AD33551" w:rsidR="003B00B1" w:rsidRPr="00D20E59" w:rsidRDefault="003B00B1" w:rsidP="009D1D0C">
      <w:pPr>
        <w:tabs>
          <w:tab w:val="left" w:pos="1316"/>
        </w:tabs>
        <w:spacing w:line="276" w:lineRule="auto"/>
        <w:ind w:left="720" w:right="950"/>
        <w:jc w:val="both"/>
        <w:rPr>
          <w:b/>
          <w:bCs/>
        </w:rPr>
      </w:pPr>
      <w:r w:rsidRPr="00D20E59">
        <w:rPr>
          <w:b/>
          <w:bCs/>
        </w:rPr>
        <w:t xml:space="preserve">Αναλυτικές οδηγίες για τη διεξαγωγή του Εργαστηρίου 5 – </w:t>
      </w:r>
      <w:r w:rsidR="00720632" w:rsidRPr="00D20E59">
        <w:rPr>
          <w:b/>
          <w:bCs/>
        </w:rPr>
        <w:t>«</w:t>
      </w:r>
      <w:r w:rsidRPr="00D20E59">
        <w:rPr>
          <w:b/>
          <w:bCs/>
        </w:rPr>
        <w:t>Παιχνίδι ρόλων</w:t>
      </w:r>
      <w:r w:rsidR="00720632" w:rsidRPr="00D20E59">
        <w:rPr>
          <w:b/>
          <w:bCs/>
        </w:rPr>
        <w:t>»</w:t>
      </w:r>
      <w:r w:rsidRPr="00D20E59">
        <w:rPr>
          <w:b/>
          <w:bCs/>
        </w:rPr>
        <w:t xml:space="preserve"> θα βρείτε στο ολοκληρωμένο Εγχειρίδιο του εκπαιδευτικού προγράμματος, στο οποίο εμπεριέχονται και όλα τα υλικά προς εκτύπωση και χρήση.</w:t>
      </w:r>
    </w:p>
    <w:p w14:paraId="0421477B" w14:textId="77777777" w:rsidR="00C90E85" w:rsidRPr="00D20E59" w:rsidRDefault="00C90E85" w:rsidP="00D20E59">
      <w:pPr>
        <w:tabs>
          <w:tab w:val="left" w:pos="1316"/>
        </w:tabs>
        <w:spacing w:line="276" w:lineRule="auto"/>
        <w:rPr>
          <w:b/>
          <w:bCs/>
        </w:rPr>
      </w:pPr>
    </w:p>
    <w:sectPr w:rsidR="00C90E85" w:rsidRPr="00D20E59" w:rsidSect="005540A2">
      <w:headerReference w:type="default" r:id="rId11"/>
      <w:footerReference w:type="default" r:id="rId12"/>
      <w:pgSz w:w="11910" w:h="16840"/>
      <w:pgMar w:top="1890"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91427" w14:textId="77777777" w:rsidR="00EF4DD3" w:rsidRDefault="00EF4DD3">
      <w:r>
        <w:separator/>
      </w:r>
    </w:p>
  </w:endnote>
  <w:endnote w:type="continuationSeparator" w:id="0">
    <w:p w14:paraId="30B4A806" w14:textId="77777777" w:rsidR="00EF4DD3" w:rsidRDefault="00EF4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FED49" w14:textId="37DF4888" w:rsidR="006A5215" w:rsidRDefault="006A5215">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C30E1" w14:textId="77777777" w:rsidR="00EF4DD3" w:rsidRDefault="00EF4DD3">
      <w:r>
        <w:separator/>
      </w:r>
    </w:p>
  </w:footnote>
  <w:footnote w:type="continuationSeparator" w:id="0">
    <w:p w14:paraId="725AE643" w14:textId="77777777" w:rsidR="00EF4DD3" w:rsidRDefault="00EF4D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AFAAA" w14:textId="679A677B" w:rsidR="00865E82" w:rsidRDefault="00865E82" w:rsidP="4BD2B202">
    <w:pPr>
      <w:pStyle w:val="a3"/>
      <w:spacing w:line="14" w:lineRule="auto"/>
      <w:rPr>
        <w:sz w:val="20"/>
        <w:szCs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1413799234" name="Εικόνα 1413799234"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4006B6E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8AF91A"/>
    <w:multiLevelType w:val="hybridMultilevel"/>
    <w:tmpl w:val="CCFEC7A0"/>
    <w:lvl w:ilvl="0" w:tplc="C8785E18">
      <w:start w:val="1"/>
      <w:numFmt w:val="decimal"/>
      <w:lvlText w:val="%1."/>
      <w:lvlJc w:val="left"/>
      <w:pPr>
        <w:ind w:left="1080" w:hanging="360"/>
      </w:pPr>
    </w:lvl>
    <w:lvl w:ilvl="1" w:tplc="48BA79B6">
      <w:start w:val="1"/>
      <w:numFmt w:val="lowerLetter"/>
      <w:lvlText w:val="%2."/>
      <w:lvlJc w:val="left"/>
      <w:pPr>
        <w:ind w:left="1800" w:hanging="360"/>
      </w:pPr>
    </w:lvl>
    <w:lvl w:ilvl="2" w:tplc="CD142328">
      <w:start w:val="1"/>
      <w:numFmt w:val="lowerRoman"/>
      <w:lvlText w:val="%3."/>
      <w:lvlJc w:val="right"/>
      <w:pPr>
        <w:ind w:left="2520" w:hanging="180"/>
      </w:pPr>
    </w:lvl>
    <w:lvl w:ilvl="3" w:tplc="1A4071FE">
      <w:start w:val="1"/>
      <w:numFmt w:val="decimal"/>
      <w:lvlText w:val="%4."/>
      <w:lvlJc w:val="left"/>
      <w:pPr>
        <w:ind w:left="3240" w:hanging="360"/>
      </w:pPr>
    </w:lvl>
    <w:lvl w:ilvl="4" w:tplc="A692DF16">
      <w:start w:val="1"/>
      <w:numFmt w:val="lowerLetter"/>
      <w:lvlText w:val="%5."/>
      <w:lvlJc w:val="left"/>
      <w:pPr>
        <w:ind w:left="3960" w:hanging="360"/>
      </w:pPr>
    </w:lvl>
    <w:lvl w:ilvl="5" w:tplc="DB0CE740">
      <w:start w:val="1"/>
      <w:numFmt w:val="lowerRoman"/>
      <w:lvlText w:val="%6."/>
      <w:lvlJc w:val="right"/>
      <w:pPr>
        <w:ind w:left="4680" w:hanging="180"/>
      </w:pPr>
    </w:lvl>
    <w:lvl w:ilvl="6" w:tplc="245EAF2A">
      <w:start w:val="1"/>
      <w:numFmt w:val="decimal"/>
      <w:lvlText w:val="%7."/>
      <w:lvlJc w:val="left"/>
      <w:pPr>
        <w:ind w:left="5400" w:hanging="360"/>
      </w:pPr>
    </w:lvl>
    <w:lvl w:ilvl="7" w:tplc="4C1A0A6A">
      <w:start w:val="1"/>
      <w:numFmt w:val="lowerLetter"/>
      <w:lvlText w:val="%8."/>
      <w:lvlJc w:val="left"/>
      <w:pPr>
        <w:ind w:left="6120" w:hanging="360"/>
      </w:pPr>
    </w:lvl>
    <w:lvl w:ilvl="8" w:tplc="D9120DD4">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215"/>
    <w:rsid w:val="00002839"/>
    <w:rsid w:val="00065BDD"/>
    <w:rsid w:val="001553DE"/>
    <w:rsid w:val="001D1D3C"/>
    <w:rsid w:val="001E65B4"/>
    <w:rsid w:val="00266E30"/>
    <w:rsid w:val="002B66FC"/>
    <w:rsid w:val="003B00B1"/>
    <w:rsid w:val="005176A7"/>
    <w:rsid w:val="005540A2"/>
    <w:rsid w:val="00572108"/>
    <w:rsid w:val="005D07C4"/>
    <w:rsid w:val="006A5215"/>
    <w:rsid w:val="006C54DB"/>
    <w:rsid w:val="006D7237"/>
    <w:rsid w:val="00720632"/>
    <w:rsid w:val="007618E7"/>
    <w:rsid w:val="00851A6D"/>
    <w:rsid w:val="00865E82"/>
    <w:rsid w:val="008908EB"/>
    <w:rsid w:val="00891192"/>
    <w:rsid w:val="0089313C"/>
    <w:rsid w:val="00922817"/>
    <w:rsid w:val="0094493B"/>
    <w:rsid w:val="009D1D0C"/>
    <w:rsid w:val="00A02293"/>
    <w:rsid w:val="00A33049"/>
    <w:rsid w:val="00A865E1"/>
    <w:rsid w:val="00AC0487"/>
    <w:rsid w:val="00B04BDA"/>
    <w:rsid w:val="00B17B8D"/>
    <w:rsid w:val="00B2629A"/>
    <w:rsid w:val="00B6793B"/>
    <w:rsid w:val="00B97C74"/>
    <w:rsid w:val="00C90E85"/>
    <w:rsid w:val="00D20E59"/>
    <w:rsid w:val="00D56947"/>
    <w:rsid w:val="00D70B2B"/>
    <w:rsid w:val="00E243F2"/>
    <w:rsid w:val="00E426DA"/>
    <w:rsid w:val="00EE48D0"/>
    <w:rsid w:val="00EF4DD3"/>
    <w:rsid w:val="00F04F8E"/>
    <w:rsid w:val="00FD2629"/>
    <w:rsid w:val="00FD7F82"/>
    <w:rsid w:val="0B7AE21B"/>
    <w:rsid w:val="0E05F0AC"/>
    <w:rsid w:val="16604802"/>
    <w:rsid w:val="1AD33346"/>
    <w:rsid w:val="21677833"/>
    <w:rsid w:val="26DF8BB0"/>
    <w:rsid w:val="3232E627"/>
    <w:rsid w:val="4252E12E"/>
    <w:rsid w:val="4BD2B202"/>
    <w:rsid w:val="54766A84"/>
    <w:rsid w:val="5BB0C265"/>
    <w:rsid w:val="622E7E95"/>
    <w:rsid w:val="67D30AB2"/>
    <w:rsid w:val="6EF14C34"/>
    <w:rsid w:val="77E1A861"/>
    <w:rsid w:val="7ACE46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character" w:styleId="-">
    <w:name w:val="Hyperlink"/>
    <w:basedOn w:val="a0"/>
    <w:uiPriority w:val="99"/>
    <w:unhideWhenUsed/>
    <w:rsid w:val="00F04F8E"/>
    <w:rPr>
      <w:color w:val="0000FF" w:themeColor="hyperlink"/>
      <w:u w:val="single"/>
    </w:rPr>
  </w:style>
  <w:style w:type="character" w:styleId="-0">
    <w:name w:val="FollowedHyperlink"/>
    <w:basedOn w:val="a0"/>
    <w:uiPriority w:val="99"/>
    <w:semiHidden/>
    <w:unhideWhenUsed/>
    <w:rsid w:val="00F04F8E"/>
    <w:rPr>
      <w:color w:val="800080" w:themeColor="followedHyperlink"/>
      <w:u w:val="single"/>
    </w:rPr>
  </w:style>
  <w:style w:type="paragraph" w:styleId="a8">
    <w:name w:val="Revision"/>
    <w:hidden/>
    <w:uiPriority w:val="99"/>
    <w:semiHidden/>
    <w:rsid w:val="009D1D0C"/>
    <w:pPr>
      <w:widowControl/>
      <w:autoSpaceDE/>
      <w:autoSpaceDN/>
    </w:pPr>
    <w:rPr>
      <w:rFonts w:ascii="Calibri" w:eastAsia="Calibri" w:hAnsi="Calibri" w:cs="Calibri"/>
      <w:lang w:val="el-GR"/>
    </w:rPr>
  </w:style>
  <w:style w:type="paragraph" w:styleId="a9">
    <w:name w:val="Balloon Text"/>
    <w:basedOn w:val="a"/>
    <w:link w:val="Char1"/>
    <w:uiPriority w:val="99"/>
    <w:semiHidden/>
    <w:unhideWhenUsed/>
    <w:rsid w:val="00D20E59"/>
    <w:rPr>
      <w:rFonts w:ascii="Segoe UI" w:hAnsi="Segoe UI" w:cs="Segoe UI"/>
      <w:sz w:val="18"/>
      <w:szCs w:val="18"/>
    </w:rPr>
  </w:style>
  <w:style w:type="character" w:customStyle="1" w:styleId="Char1">
    <w:name w:val="Κείμενο πλαισίου Char"/>
    <w:basedOn w:val="a0"/>
    <w:link w:val="a9"/>
    <w:uiPriority w:val="99"/>
    <w:semiHidden/>
    <w:rsid w:val="00D20E59"/>
    <w:rPr>
      <w:rFonts w:ascii="Segoe UI" w:eastAsia="Calibri" w:hAnsi="Segoe UI" w:cs="Segoe UI"/>
      <w:sz w:val="18"/>
      <w:szCs w:val="18"/>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714884">
      <w:bodyDiv w:val="1"/>
      <w:marLeft w:val="0"/>
      <w:marRight w:val="0"/>
      <w:marTop w:val="0"/>
      <w:marBottom w:val="0"/>
      <w:divBdr>
        <w:top w:val="none" w:sz="0" w:space="0" w:color="auto"/>
        <w:left w:val="none" w:sz="0" w:space="0" w:color="auto"/>
        <w:bottom w:val="none" w:sz="0" w:space="0" w:color="auto"/>
        <w:right w:val="none" w:sz="0" w:space="0" w:color="auto"/>
      </w:divBdr>
      <w:divsChild>
        <w:div w:id="631789500">
          <w:marLeft w:val="0"/>
          <w:marRight w:val="0"/>
          <w:marTop w:val="0"/>
          <w:marBottom w:val="0"/>
          <w:divBdr>
            <w:top w:val="none" w:sz="0" w:space="0" w:color="auto"/>
            <w:left w:val="none" w:sz="0" w:space="0" w:color="auto"/>
            <w:bottom w:val="none" w:sz="0" w:space="0" w:color="auto"/>
            <w:right w:val="none" w:sz="0" w:space="0" w:color="auto"/>
          </w:divBdr>
        </w:div>
        <w:div w:id="1633289614">
          <w:marLeft w:val="0"/>
          <w:marRight w:val="0"/>
          <w:marTop w:val="0"/>
          <w:marBottom w:val="0"/>
          <w:divBdr>
            <w:top w:val="none" w:sz="0" w:space="0" w:color="auto"/>
            <w:left w:val="none" w:sz="0" w:space="0" w:color="auto"/>
            <w:bottom w:val="none" w:sz="0" w:space="0" w:color="auto"/>
            <w:right w:val="none" w:sz="0" w:space="0" w:color="auto"/>
          </w:divBdr>
        </w:div>
        <w:div w:id="654382942">
          <w:marLeft w:val="0"/>
          <w:marRight w:val="0"/>
          <w:marTop w:val="0"/>
          <w:marBottom w:val="0"/>
          <w:divBdr>
            <w:top w:val="none" w:sz="0" w:space="0" w:color="auto"/>
            <w:left w:val="none" w:sz="0" w:space="0" w:color="auto"/>
            <w:bottom w:val="none" w:sz="0" w:space="0" w:color="auto"/>
            <w:right w:val="none" w:sz="0" w:space="0" w:color="auto"/>
          </w:divBdr>
        </w:div>
        <w:div w:id="1981572901">
          <w:marLeft w:val="0"/>
          <w:marRight w:val="0"/>
          <w:marTop w:val="0"/>
          <w:marBottom w:val="0"/>
          <w:divBdr>
            <w:top w:val="none" w:sz="0" w:space="0" w:color="auto"/>
            <w:left w:val="none" w:sz="0" w:space="0" w:color="auto"/>
            <w:bottom w:val="none" w:sz="0" w:space="0" w:color="auto"/>
            <w:right w:val="none" w:sz="0" w:space="0" w:color="auto"/>
          </w:divBdr>
        </w:div>
        <w:div w:id="322704299">
          <w:marLeft w:val="0"/>
          <w:marRight w:val="0"/>
          <w:marTop w:val="0"/>
          <w:marBottom w:val="0"/>
          <w:divBdr>
            <w:top w:val="none" w:sz="0" w:space="0" w:color="auto"/>
            <w:left w:val="none" w:sz="0" w:space="0" w:color="auto"/>
            <w:bottom w:val="none" w:sz="0" w:space="0" w:color="auto"/>
            <w:right w:val="none" w:sz="0" w:space="0" w:color="auto"/>
          </w:divBdr>
        </w:div>
        <w:div w:id="43869195">
          <w:marLeft w:val="0"/>
          <w:marRight w:val="0"/>
          <w:marTop w:val="0"/>
          <w:marBottom w:val="0"/>
          <w:divBdr>
            <w:top w:val="none" w:sz="0" w:space="0" w:color="auto"/>
            <w:left w:val="none" w:sz="0" w:space="0" w:color="auto"/>
            <w:bottom w:val="none" w:sz="0" w:space="0" w:color="auto"/>
            <w:right w:val="none" w:sz="0" w:space="0" w:color="auto"/>
          </w:divBdr>
        </w:div>
        <w:div w:id="720590508">
          <w:marLeft w:val="0"/>
          <w:marRight w:val="0"/>
          <w:marTop w:val="0"/>
          <w:marBottom w:val="0"/>
          <w:divBdr>
            <w:top w:val="none" w:sz="0" w:space="0" w:color="auto"/>
            <w:left w:val="none" w:sz="0" w:space="0" w:color="auto"/>
            <w:bottom w:val="none" w:sz="0" w:space="0" w:color="auto"/>
            <w:right w:val="none" w:sz="0" w:space="0" w:color="auto"/>
          </w:divBdr>
        </w:div>
      </w:divsChild>
    </w:div>
    <w:div w:id="776755180">
      <w:bodyDiv w:val="1"/>
      <w:marLeft w:val="0"/>
      <w:marRight w:val="0"/>
      <w:marTop w:val="0"/>
      <w:marBottom w:val="0"/>
      <w:divBdr>
        <w:top w:val="none" w:sz="0" w:space="0" w:color="auto"/>
        <w:left w:val="none" w:sz="0" w:space="0" w:color="auto"/>
        <w:bottom w:val="none" w:sz="0" w:space="0" w:color="auto"/>
        <w:right w:val="none" w:sz="0" w:space="0" w:color="auto"/>
      </w:divBdr>
      <w:divsChild>
        <w:div w:id="1923372194">
          <w:marLeft w:val="0"/>
          <w:marRight w:val="0"/>
          <w:marTop w:val="0"/>
          <w:marBottom w:val="0"/>
          <w:divBdr>
            <w:top w:val="none" w:sz="0" w:space="0" w:color="auto"/>
            <w:left w:val="none" w:sz="0" w:space="0" w:color="auto"/>
            <w:bottom w:val="none" w:sz="0" w:space="0" w:color="auto"/>
            <w:right w:val="none" w:sz="0" w:space="0" w:color="auto"/>
          </w:divBdr>
        </w:div>
        <w:div w:id="1500072540">
          <w:marLeft w:val="0"/>
          <w:marRight w:val="0"/>
          <w:marTop w:val="0"/>
          <w:marBottom w:val="0"/>
          <w:divBdr>
            <w:top w:val="none" w:sz="0" w:space="0" w:color="auto"/>
            <w:left w:val="none" w:sz="0" w:space="0" w:color="auto"/>
            <w:bottom w:val="none" w:sz="0" w:space="0" w:color="auto"/>
            <w:right w:val="none" w:sz="0" w:space="0" w:color="auto"/>
          </w:divBdr>
        </w:div>
        <w:div w:id="1496871294">
          <w:marLeft w:val="0"/>
          <w:marRight w:val="0"/>
          <w:marTop w:val="0"/>
          <w:marBottom w:val="0"/>
          <w:divBdr>
            <w:top w:val="none" w:sz="0" w:space="0" w:color="auto"/>
            <w:left w:val="none" w:sz="0" w:space="0" w:color="auto"/>
            <w:bottom w:val="none" w:sz="0" w:space="0" w:color="auto"/>
            <w:right w:val="none" w:sz="0" w:space="0" w:color="auto"/>
          </w:divBdr>
        </w:div>
        <w:div w:id="487983670">
          <w:marLeft w:val="0"/>
          <w:marRight w:val="0"/>
          <w:marTop w:val="0"/>
          <w:marBottom w:val="0"/>
          <w:divBdr>
            <w:top w:val="none" w:sz="0" w:space="0" w:color="auto"/>
            <w:left w:val="none" w:sz="0" w:space="0" w:color="auto"/>
            <w:bottom w:val="none" w:sz="0" w:space="0" w:color="auto"/>
            <w:right w:val="none" w:sz="0" w:space="0" w:color="auto"/>
          </w:divBdr>
        </w:div>
        <w:div w:id="1132753232">
          <w:marLeft w:val="0"/>
          <w:marRight w:val="0"/>
          <w:marTop w:val="0"/>
          <w:marBottom w:val="0"/>
          <w:divBdr>
            <w:top w:val="none" w:sz="0" w:space="0" w:color="auto"/>
            <w:left w:val="none" w:sz="0" w:space="0" w:color="auto"/>
            <w:bottom w:val="none" w:sz="0" w:space="0" w:color="auto"/>
            <w:right w:val="none" w:sz="0" w:space="0" w:color="auto"/>
          </w:divBdr>
        </w:div>
        <w:div w:id="683744225">
          <w:marLeft w:val="0"/>
          <w:marRight w:val="0"/>
          <w:marTop w:val="0"/>
          <w:marBottom w:val="0"/>
          <w:divBdr>
            <w:top w:val="none" w:sz="0" w:space="0" w:color="auto"/>
            <w:left w:val="none" w:sz="0" w:space="0" w:color="auto"/>
            <w:bottom w:val="none" w:sz="0" w:space="0" w:color="auto"/>
            <w:right w:val="none" w:sz="0" w:space="0" w:color="auto"/>
          </w:divBdr>
        </w:div>
        <w:div w:id="10882098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med-ina.org/wp-content/uploads/bsk-pdf-manager/2024/11/LetItFlow_Handbook_FULLVERSION_GR.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429</Words>
  <Characters>2319</Characters>
  <Application>Microsoft Office Word</Application>
  <DocSecurity>0</DocSecurity>
  <Lines>19</Lines>
  <Paragraphs>5</Paragraphs>
  <ScaleCrop>false</ScaleCrop>
  <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Κερασοβίτης Κωνσταντίνος</cp:lastModifiedBy>
  <cp:revision>4</cp:revision>
  <dcterms:created xsi:type="dcterms:W3CDTF">2025-05-16T18:48:00Z</dcterms:created>
  <dcterms:modified xsi:type="dcterms:W3CDTF">2025-05-19T07:27:00Z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